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96DB0">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418442</w:t>
      </w:r>
      <w:bookmarkStart w:id="8" w:name="_GoBack"/>
      <w:bookmarkEnd w:id="8"/>
      <w:r>
        <w:rPr>
          <w:b/>
          <w:sz w:val="24"/>
          <w:szCs w:val="24"/>
          <w:highlight w:val="none"/>
        </w:rPr>
        <w:t xml:space="preserve">                      </w:t>
      </w:r>
    </w:p>
    <w:bookmarkEnd w:id="0"/>
    <w:bookmarkEnd w:id="1"/>
    <w:p w14:paraId="6890F9F2">
      <w:pPr>
        <w:pStyle w:val="7"/>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300E2485">
      <w:pPr>
        <w:tabs>
          <w:tab w:val="left" w:pos="1985"/>
        </w:tabs>
        <w:rPr>
          <w:rFonts w:ascii="Times New Roman" w:hAnsi="Times New Roman"/>
          <w:b/>
          <w:sz w:val="22"/>
          <w:highlight w:val="none"/>
        </w:rPr>
      </w:pPr>
    </w:p>
    <w:p w14:paraId="35482E1F">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24</w:t>
      </w:r>
      <w:r>
        <w:rPr>
          <w:rFonts w:hint="eastAsia" w:ascii="Times New Roman" w:hAnsi="Times New Roman"/>
          <w:sz w:val="22"/>
          <w:highlight w:val="none"/>
        </w:rPr>
        <w:t>.</w:t>
      </w:r>
      <w:r>
        <w:rPr>
          <w:rFonts w:hint="eastAsia" w:ascii="Times New Roman" w:hAnsi="Times New Roman"/>
          <w:sz w:val="22"/>
          <w:highlight w:val="none"/>
          <w:lang w:val="en-US" w:eastAsia="zh-CN"/>
        </w:rPr>
        <w:t>1</w:t>
      </w:r>
    </w:p>
    <w:p w14:paraId="4CC71066">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90207C8">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0"/>
          <w:szCs w:val="20"/>
          <w:lang w:val="en-US" w:eastAsia="zh-CN"/>
        </w:rPr>
        <w:t>inter-CU subsequent LTM</w:t>
      </w:r>
    </w:p>
    <w:bookmarkEnd w:id="4"/>
    <w:bookmarkEnd w:id="5"/>
    <w:p w14:paraId="150A856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74F88FF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63ABBD">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#102 meeting, the new WID on NR mobility enhancements Phase 4 was approved [1]. In RAN #105 meeting, the revised WID was approved [2]. The detailed objectives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839B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3A1B7C62">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inter-CU Layer1/Layer 2 Triggered Mobility (LTM) [RAN2, RAN3]</w:t>
            </w:r>
          </w:p>
          <w:p w14:paraId="22CD6484">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Prioritize the case when CU is acting as MN when DC is not configured</w:t>
            </w:r>
          </w:p>
          <w:p w14:paraId="7EA29D5A">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When DC is configured, inter-CU LTM can be configured either in MN or in SN but not both at the same time. For such cases:</w:t>
            </w:r>
          </w:p>
          <w:p w14:paraId="7BA81DAD">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SN and MN is unchanged</w:t>
            </w:r>
          </w:p>
          <w:p w14:paraId="101A5CF6">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As secondary priority, support the case where CU is acting as MN and SN is unchanged or SN is released</w:t>
            </w:r>
          </w:p>
          <w:p w14:paraId="2A138AD2">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subsequent LTM mobility procedures aiming to avoid RRC configuration between cell switches as per Rel-18 LTM</w:t>
            </w:r>
          </w:p>
          <w:p w14:paraId="37614D09">
            <w:pPr>
              <w:numPr>
                <w:ilvl w:val="2"/>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Coordination with SA3 needed with respect to security key handling </w:t>
            </w:r>
          </w:p>
          <w:p w14:paraId="0780E17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Note: Rel. 18 intra-CU LTM procedure is considered as baseline for adding inter-CU support</w:t>
            </w:r>
          </w:p>
          <w:p w14:paraId="4B4D987F">
            <w:pPr>
              <w:rPr>
                <w:rFonts w:hint="default" w:ascii="Times New Roman" w:hAnsi="Times New Roman" w:cs="Times New Roman"/>
                <w:sz w:val="20"/>
                <w:szCs w:val="20"/>
                <w:highlight w:val="cyan"/>
              </w:rPr>
            </w:pPr>
          </w:p>
          <w:p w14:paraId="64343F28">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Measurements related enhancements for purpose of supporting LTM: [RAN2, RAN1]</w:t>
            </w:r>
          </w:p>
          <w:p w14:paraId="0AC62AE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Measurement related enhancements are applicable to Intra-CU MCG/SCG LTM and Inter-CU MCG/SCG LTM</w:t>
            </w:r>
          </w:p>
          <w:p w14:paraId="66B4F36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components to support event triggered L1 measurement reporting [RAN2, RAN1]</w:t>
            </w:r>
          </w:p>
          <w:p w14:paraId="660D6E09">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for CSI-RS measurements for LTM procedures and enable CSI-RS based beam management [RAN1]</w:t>
            </w:r>
          </w:p>
          <w:p w14:paraId="7B1F943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CSI acquisition on candidate cell(s) based on CSI-RS before or during LTM cell switch [RAN1]</w:t>
            </w:r>
          </w:p>
          <w:p w14:paraId="34CA0DD6">
            <w:pPr>
              <w:pStyle w:val="12"/>
              <w:ind w:left="360" w:firstLine="360"/>
              <w:rPr>
                <w:rFonts w:hint="default" w:ascii="Times New Roman" w:hAnsi="Times New Roman" w:cs="Times New Roman"/>
                <w:sz w:val="20"/>
                <w:szCs w:val="20"/>
              </w:rPr>
            </w:pPr>
          </w:p>
          <w:p w14:paraId="3E29573C">
            <w:pPr>
              <w:pStyle w:val="12"/>
              <w:ind w:left="360" w:firstLine="360"/>
              <w:rPr>
                <w:rFonts w:hint="default" w:ascii="Times New Roman" w:hAnsi="Times New Roman" w:cs="Times New Roman"/>
                <w:sz w:val="20"/>
                <w:szCs w:val="20"/>
              </w:rPr>
            </w:pPr>
            <w:r>
              <w:rPr>
                <w:rFonts w:hint="default" w:ascii="Times New Roman" w:hAnsi="Times New Roman" w:cs="Times New Roman"/>
                <w:sz w:val="20"/>
                <w:szCs w:val="20"/>
              </w:rPr>
              <w:t xml:space="preserve">NOTE: </w:t>
            </w:r>
            <w:r>
              <w:rPr>
                <w:rFonts w:hint="default" w:ascii="Times New Roman" w:hAnsi="Times New Roman" w:cs="Times New Roman"/>
                <w:sz w:val="20"/>
                <w:szCs w:val="20"/>
              </w:rPr>
              <w:tab/>
            </w:r>
            <w:r>
              <w:rPr>
                <w:rFonts w:hint="default" w:ascii="Times New Roman" w:hAnsi="Times New Roman" w:cs="Times New Roman"/>
                <w:sz w:val="20"/>
                <w:szCs w:val="20"/>
              </w:rPr>
              <w:t>RAN1 WG to decide on whether to support CSI report before or during the LTM cell switch, as part of the CSI acquisition procedure.</w:t>
            </w:r>
          </w:p>
          <w:p w14:paraId="0B667406">
            <w:pPr>
              <w:rPr>
                <w:rFonts w:hint="default" w:ascii="Times New Roman" w:hAnsi="Times New Roman" w:cs="Times New Roman"/>
                <w:sz w:val="20"/>
                <w:szCs w:val="20"/>
              </w:rPr>
            </w:pPr>
          </w:p>
          <w:p w14:paraId="72A6AD22">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support of conditional Intra-CU LTM [RAN2, RAN3, RAN1]</w:t>
            </w:r>
          </w:p>
          <w:p w14:paraId="0D131815">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UE evaluated conditions for triggering LTM</w:t>
            </w:r>
          </w:p>
          <w:p w14:paraId="196C58BE">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Aim to support conditional LTM including subsequent LTM</w:t>
            </w:r>
          </w:p>
          <w:p w14:paraId="2C85C44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Limit specifying the conditional LTM to the scenario where the UE is in non-DC </w:t>
            </w:r>
          </w:p>
          <w:p w14:paraId="55FFA133">
            <w:pPr>
              <w:numPr>
                <w:ilvl w:val="1"/>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Checkpoint at RAN#107 to review the objective on whether Intra-CU conditional LTM can be specified to DC scenarios and if so, to which cases. RAN WG work to not start before this checkpoint</w:t>
            </w:r>
          </w:p>
          <w:p w14:paraId="62BA5409">
            <w:pPr>
              <w:rPr>
                <w:rFonts w:hint="default" w:ascii="Times New Roman" w:hAnsi="Times New Roman" w:cs="Times New Roman"/>
                <w:sz w:val="20"/>
                <w:szCs w:val="20"/>
              </w:rPr>
            </w:pPr>
          </w:p>
          <w:p w14:paraId="0BA898EF">
            <w:pPr>
              <w:numPr>
                <w:ilvl w:val="0"/>
                <w:numId w:val="3"/>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RRM requirements related to the above objectives as necessary [RAN4]</w:t>
            </w:r>
          </w:p>
          <w:p w14:paraId="15AE2FCF">
            <w:pPr>
              <w:keepNext w:val="0"/>
              <w:keepLines w:val="0"/>
              <w:pageBreakBefore w:val="0"/>
              <w:numPr>
                <w:ilvl w:val="0"/>
                <w:numId w:val="0"/>
              </w:numPr>
              <w:kinsoku/>
              <w:wordWrap/>
              <w:overflowPunct/>
              <w:topLinePunct w:val="0"/>
              <w:autoSpaceDE/>
              <w:autoSpaceDN/>
              <w:bidi w:val="0"/>
              <w:adjustRightInd/>
              <w:snapToGrid/>
              <w:spacing w:after="180" w:line="240" w:lineRule="auto"/>
              <w:textAlignment w:val="auto"/>
              <w:rPr>
                <w:rFonts w:hint="default" w:ascii="Times New Roman" w:hAnsi="Times New Roman" w:cs="Times New Roman"/>
                <w:sz w:val="20"/>
                <w:szCs w:val="20"/>
                <w:vertAlign w:val="baseline"/>
                <w:lang w:val="en-US" w:eastAsia="zh-CN"/>
              </w:rPr>
            </w:pPr>
          </w:p>
        </w:tc>
      </w:tr>
    </w:tbl>
    <w:p w14:paraId="7FEF342A">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 there was initial discussion on measurements related enhancements for LTM, and a WF was agreed [3].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inter-CU subsequent LTM</w:t>
      </w:r>
      <w:r>
        <w:rPr>
          <w:rFonts w:hint="eastAsia" w:ascii="Times New Roman" w:hAnsi="Times New Roman"/>
          <w:bCs/>
          <w:iCs/>
          <w:sz w:val="20"/>
          <w:szCs w:val="20"/>
        </w:rPr>
        <w:t>.</w:t>
      </w:r>
    </w:p>
    <w:p w14:paraId="311ADB0E">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88FE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00410FA">
            <w:pPr>
              <w:pStyle w:val="5"/>
              <w:numPr>
                <w:ilvl w:val="0"/>
                <w:numId w:val="0"/>
              </w:numPr>
              <w:tabs>
                <w:tab w:val="left" w:pos="432"/>
                <w:tab w:val="clear" w:pos="864"/>
              </w:tabs>
              <w:rPr>
                <w:rFonts w:hint="default" w:ascii="Times New Roman" w:hAnsi="Times New Roman" w:cs="Times New Roman"/>
                <w:sz w:val="24"/>
                <w:szCs w:val="24"/>
                <w:lang w:val="en-US"/>
              </w:rPr>
            </w:pPr>
            <w:r>
              <w:rPr>
                <w:rFonts w:hint="default" w:ascii="Times New Roman" w:hAnsi="Times New Roman" w:cs="Times New Roman"/>
                <w:sz w:val="24"/>
                <w:szCs w:val="24"/>
                <w:lang w:val="en-US"/>
              </w:rPr>
              <w:t>Issue 3-1: other issues</w:t>
            </w:r>
          </w:p>
          <w:p w14:paraId="770E2347">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Candidate solutions:</w:t>
            </w:r>
          </w:p>
          <w:p w14:paraId="3399BDDD">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Proposal 1: it is proposed to define dedicated requirements, e.g.timing requirements, for UE based TA adjustment. (CMCC)</w:t>
            </w:r>
          </w:p>
          <w:p w14:paraId="6AC6964C">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Proposal 2: For subsequent LTM, cell switch delay requirements for R18 LTM in clause 6.3 could be reused. (CMCC, ZTE)</w:t>
            </w:r>
          </w:p>
          <w:p w14:paraId="38596D34">
            <w:pPr>
              <w:pStyle w:val="13"/>
              <w:numPr>
                <w:ilvl w:val="1"/>
                <w:numId w:val="4"/>
              </w:numPr>
              <w:spacing w:after="120"/>
              <w:ind w:firstLineChars="0"/>
              <w:rPr>
                <w:rFonts w:hint="default" w:ascii="Times New Roman" w:hAnsi="Times New Roman" w:eastAsia="宋体" w:cs="Times New Roman"/>
                <w:bCs/>
                <w:color w:val="000000" w:themeColor="text1"/>
                <w:sz w:val="20"/>
                <w:szCs w:val="20"/>
                <w:lang w:val="en-US"/>
                <w14:textFill>
                  <w14:solidFill>
                    <w14:schemeClr w14:val="tx1"/>
                  </w14:solidFill>
                </w14:textFill>
              </w:rPr>
            </w:pPr>
            <w:r>
              <w:rPr>
                <w:rFonts w:hint="default" w:ascii="Times New Roman" w:hAnsi="Times New Roman" w:eastAsia="宋体" w:cs="Times New Roman"/>
                <w:bCs/>
                <w:color w:val="000000" w:themeColor="text1"/>
                <w:sz w:val="20"/>
                <w:szCs w:val="20"/>
                <w:lang w:val="en-US"/>
                <w14:textFill>
                  <w14:solidFill>
                    <w14:schemeClr w14:val="tx1"/>
                  </w14:solidFill>
                </w14:textFill>
              </w:rPr>
              <w:t>Proposal 3: RAN4 to discuss whether to define requirements for subsequent LTM cell switching delay in R19. The requirements would be the same for both intra-CU and inter-CU. (HW)</w:t>
            </w:r>
          </w:p>
          <w:p w14:paraId="50095A79">
            <w:pPr>
              <w:pStyle w:val="13"/>
              <w:numPr>
                <w:ilvl w:val="0"/>
                <w:numId w:val="4"/>
              </w:numPr>
              <w:spacing w:after="120"/>
              <w:ind w:firstLineChars="0"/>
              <w:rPr>
                <w:rFonts w:hint="default" w:ascii="Times New Roman" w:hAnsi="Times New Roman" w:eastAsia="宋体" w:cs="Times New Roman"/>
                <w:color w:val="000000" w:themeColor="text1"/>
                <w:sz w:val="20"/>
                <w:szCs w:val="20"/>
                <w:u w:val="single"/>
                <w:lang w:val="en-US"/>
                <w14:textFill>
                  <w14:solidFill>
                    <w14:schemeClr w14:val="tx1"/>
                  </w14:solidFill>
                </w14:textFill>
              </w:rPr>
            </w:pPr>
            <w:r>
              <w:rPr>
                <w:rFonts w:hint="default" w:ascii="Times New Roman" w:hAnsi="Times New Roman" w:eastAsia="宋体" w:cs="Times New Roman"/>
                <w:color w:val="000000" w:themeColor="text1"/>
                <w:sz w:val="20"/>
                <w:szCs w:val="20"/>
                <w:u w:val="single"/>
                <w:lang w:val="en-US"/>
                <w14:textFill>
                  <w14:solidFill>
                    <w14:schemeClr w14:val="tx1"/>
                  </w14:solidFill>
                </w14:textFill>
              </w:rPr>
              <w:t>Agreements:</w:t>
            </w:r>
          </w:p>
          <w:p w14:paraId="2353561C">
            <w:pPr>
              <w:pStyle w:val="13"/>
              <w:numPr>
                <w:ilvl w:val="1"/>
                <w:numId w:val="4"/>
              </w:numPr>
              <w:spacing w:after="120"/>
              <w:ind w:firstLineChars="0"/>
              <w:rPr>
                <w:rFonts w:hint="default" w:ascii="Times New Roman" w:hAnsi="Times New Roman" w:eastAsia="宋体" w:cs="Times New Roman"/>
                <w:color w:val="000000"/>
                <w:sz w:val="20"/>
                <w:szCs w:val="20"/>
                <w:lang w:val="en-US"/>
              </w:rPr>
            </w:pPr>
            <w:r>
              <w:rPr>
                <w:rFonts w:hint="default" w:ascii="Times New Roman" w:hAnsi="Times New Roman" w:eastAsia="宋体" w:cs="Times New Roman"/>
                <w:color w:val="000000" w:themeColor="text1"/>
                <w:sz w:val="20"/>
                <w:szCs w:val="20"/>
                <w:lang w:val="en-US"/>
                <w14:textFill>
                  <w14:solidFill>
                    <w14:schemeClr w14:val="tx1"/>
                  </w14:solidFill>
                </w14:textFill>
              </w:rPr>
              <w:t>It is RAN4 common understanding that R18 LTM cell switch requirements also apply for R18 subsequent LTM.</w:t>
            </w:r>
          </w:p>
          <w:p w14:paraId="5DB7B05C">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sz w:val="20"/>
                <w:szCs w:val="20"/>
                <w:vertAlign w:val="baseline"/>
                <w:lang w:val="en-US" w:eastAsia="zh-CN"/>
              </w:rPr>
            </w:pPr>
          </w:p>
        </w:tc>
      </w:tr>
    </w:tbl>
    <w:p w14:paraId="17D156F3">
      <w:pPr>
        <w:keepNext w:val="0"/>
        <w:keepLines w:val="0"/>
        <w:pageBreakBefore w:val="0"/>
        <w:widowControl w:val="0"/>
        <w:kinsoku/>
        <w:wordWrap/>
        <w:overflowPunct/>
        <w:topLinePunct w:val="0"/>
        <w:autoSpaceDE/>
        <w:autoSpaceDN/>
        <w:bidi w:val="0"/>
        <w:adjustRightInd/>
        <w:snapToGrid/>
        <w:ind w:left="0"/>
        <w:textAlignment w:val="auto"/>
        <w:rPr>
          <w:rFonts w:hint="default" w:ascii="Times New Roman" w:hAnsi="Times New Roman" w:cs="Times New Roman"/>
          <w:sz w:val="20"/>
          <w:szCs w:val="20"/>
          <w:lang w:val="en-US" w:eastAsia="zh-CN"/>
        </w:rPr>
      </w:pPr>
    </w:p>
    <w:p w14:paraId="16167A5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cs="Times New Roman"/>
          <w:color w:val="000000"/>
          <w:sz w:val="20"/>
          <w:szCs w:val="20"/>
          <w:lang w:val="en-US" w:eastAsia="zh-CN"/>
        </w:rPr>
      </w:pPr>
      <w:r>
        <w:rPr>
          <w:rFonts w:hint="eastAsia" w:ascii="Times New Roman" w:hAnsi="Times New Roman" w:cs="Times New Roman"/>
          <w:sz w:val="20"/>
          <w:szCs w:val="20"/>
          <w:lang w:val="en-US" w:eastAsia="zh-CN"/>
        </w:rPr>
        <w:t xml:space="preserve">In August meeting, it was agreed that exsiting </w:t>
      </w:r>
      <w:r>
        <w:rPr>
          <w:rFonts w:hint="default" w:ascii="Times New Roman" w:hAnsi="Times New Roman" w:cs="Times New Roman"/>
          <w:color w:val="000000"/>
          <w:sz w:val="20"/>
          <w:szCs w:val="20"/>
          <w:lang w:val="en-US"/>
        </w:rPr>
        <w:t>R18 LTM related RRM requirements also apply to same procedures in inter-CU scenario</w:t>
      </w:r>
      <w:r>
        <w:rPr>
          <w:rFonts w:hint="eastAsia" w:ascii="Times New Roman" w:hAnsi="Times New Roman" w:cs="Times New Roman"/>
          <w:color w:val="000000"/>
          <w:sz w:val="20"/>
          <w:szCs w:val="20"/>
          <w:lang w:val="en-US" w:eastAsia="zh-CN"/>
        </w:rPr>
        <w:t xml:space="preserve">, FFS subsequent LTM. </w:t>
      </w:r>
    </w:p>
    <w:p w14:paraId="0E960D6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cs="Times New Roman"/>
          <w:sz w:val="20"/>
          <w:szCs w:val="20"/>
          <w:lang w:val="en-US" w:eastAsia="zh-CN"/>
        </w:rPr>
      </w:pPr>
      <w:r>
        <w:rPr>
          <w:rFonts w:hint="eastAsia" w:ascii="Times New Roman" w:hAnsi="Times New Roman" w:cs="Times New Roman"/>
          <w:color w:val="000000"/>
          <w:sz w:val="20"/>
          <w:szCs w:val="20"/>
          <w:lang w:val="en-US" w:eastAsia="zh-CN"/>
        </w:rPr>
        <w:t xml:space="preserve">Firstly, </w:t>
      </w:r>
      <w:r>
        <w:rPr>
          <w:rFonts w:hint="eastAsia" w:ascii="Times New Roman" w:hAnsi="Times New Roman" w:cs="Times New Roman"/>
          <w:sz w:val="20"/>
          <w:szCs w:val="20"/>
          <w:lang w:val="en-US" w:eastAsia="zh-CN"/>
        </w:rPr>
        <w:t xml:space="preserve">subsequent LTM is already supported for Rel-18 intra-CU LTM. In last meeting, it was also confirmed that R18 LTM cell switch requirements also apply for R18 subsequent LTM. </w:t>
      </w:r>
    </w:p>
    <w:p w14:paraId="5FD4C749">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From RAN4 requirements point of view, Rel-18 </w:t>
      </w:r>
      <w:r>
        <w:rPr>
          <w:rFonts w:hint="default" w:ascii="Times New Roman" w:hAnsi="Times New Roman" w:eastAsia="宋体" w:cs="Times New Roman"/>
          <w:sz w:val="20"/>
          <w:szCs w:val="20"/>
        </w:rPr>
        <w:t>LTM cell switch delay 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is</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the delay from the end of the last TTI containing the MAC-CE command for cell switch until the time the UE transmits the first UL message on the target cell.</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D</w:t>
      </w:r>
      <w:r>
        <w:rPr>
          <w:rFonts w:hint="default" w:ascii="Times New Roman" w:hAnsi="Times New Roman" w:eastAsia="宋体" w:cs="Times New Roman"/>
          <w:sz w:val="20"/>
          <w:szCs w:val="20"/>
          <w:vertAlign w:val="subscript"/>
        </w:rPr>
        <w:t>LTM</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vertAlign w:val="subscript"/>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cmd</w:t>
      </w:r>
      <w:r>
        <w:rPr>
          <w:rFonts w:hint="default" w:ascii="Times New Roman" w:hAnsi="Times New Roman" w:eastAsia="宋体" w:cs="Times New Roman"/>
          <w:sz w:val="20"/>
          <w:szCs w:val="20"/>
        </w:rPr>
        <w:t xml:space="preserve"> equals to T</w:t>
      </w:r>
      <w:r>
        <w:rPr>
          <w:rFonts w:hint="default" w:ascii="Times New Roman" w:hAnsi="Times New Roman" w:eastAsia="宋体" w:cs="Times New Roman"/>
          <w:sz w:val="20"/>
          <w:szCs w:val="20"/>
          <w:vertAlign w:val="subscript"/>
        </w:rPr>
        <w:t xml:space="preserve">HARQ </w:t>
      </w:r>
      <w:r>
        <w:rPr>
          <w:rFonts w:hint="default" w:ascii="Times New Roman" w:hAnsi="Times New Roman" w:eastAsia="宋体" w:cs="Times New Roman"/>
          <w:sz w:val="20"/>
          <w:szCs w:val="20"/>
        </w:rPr>
        <w:t>+ 3ms, where T</w:t>
      </w:r>
      <w:r>
        <w:rPr>
          <w:rFonts w:hint="default" w:ascii="Times New Roman" w:hAnsi="Times New Roman" w:eastAsia="宋体" w:cs="Times New Roman"/>
          <w:sz w:val="20"/>
          <w:szCs w:val="20"/>
          <w:vertAlign w:val="subscript"/>
        </w:rPr>
        <w:t>HARQ</w:t>
      </w:r>
      <w:r>
        <w:rPr>
          <w:rFonts w:hint="default" w:ascii="Times New Roman" w:hAnsi="Times New Roman" w:eastAsia="宋体" w:cs="Times New Roman"/>
          <w:sz w:val="20"/>
          <w:szCs w:val="20"/>
        </w:rPr>
        <w:t xml:space="preserve"> is the timing between cell switch command and acknowledgement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is interruption time</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LTM-interrupt</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LTM-processing</w:t>
      </w:r>
      <w:r>
        <w:rPr>
          <w:rFonts w:hint="default" w:ascii="Times New Roman" w:hAnsi="Times New Roman" w:eastAsia="宋体" w:cs="Times New Roman"/>
          <w:sz w:val="20"/>
          <w:szCs w:val="20"/>
        </w:rPr>
        <w:t xml:space="preserve"> +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sz w:val="20"/>
          <w:szCs w:val="20"/>
        </w:rPr>
        <w:t xml:space="preserve"> + T</w:t>
      </w:r>
      <w:r>
        <w:rPr>
          <w:rFonts w:hint="default" w:ascii="Times New Roman" w:hAnsi="Times New Roman" w:eastAsia="宋体" w:cs="Times New Roman"/>
          <w:sz w:val="20"/>
          <w:szCs w:val="20"/>
          <w:vertAlign w:val="subscript"/>
        </w:rPr>
        <w:t xml:space="preserve">RS-proc </w:t>
      </w:r>
      <w:r>
        <w:rPr>
          <w:rFonts w:hint="default" w:ascii="Times New Roman" w:hAnsi="Times New Roman" w:eastAsia="宋体" w:cs="Times New Roman"/>
          <w:sz w:val="20"/>
          <w:szCs w:val="20"/>
        </w:rPr>
        <w:t>+ T</w:t>
      </w:r>
      <w:r>
        <w:rPr>
          <w:rFonts w:hint="default" w:ascii="Times New Roman" w:hAnsi="Times New Roman" w:eastAsia="宋体" w:cs="Times New Roman"/>
          <w:sz w:val="20"/>
          <w:szCs w:val="20"/>
          <w:vertAlign w:val="subscript"/>
        </w:rPr>
        <w:t>LTM-IU</w:t>
      </w:r>
      <w:r>
        <w:rPr>
          <w:rFonts w:hint="default" w:ascii="Times New Roman" w:hAnsi="Times New Roman" w:eastAsia="宋体" w:cs="Times New Roman"/>
          <w:sz w:val="20"/>
          <w:szCs w:val="20"/>
        </w:rPr>
        <w:t xml:space="preserve"> ms</w:t>
      </w:r>
      <w:r>
        <w:rPr>
          <w:rFonts w:hint="default" w:ascii="Times New Roman" w:hAnsi="Times New Roman" w:eastAsia="宋体" w:cs="Times New Roman"/>
          <w:sz w:val="20"/>
          <w:szCs w:val="20"/>
          <w:lang w:val="en-US" w:eastAsia="zh-CN"/>
        </w:rPr>
        <w:t xml:space="preserve">. In detail,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 the time for ASN.1 decoding and validity/compliance check for the RRC configuration of the LTM target cell indicated in the LTM cell switch command.</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PMingLiU" w:cs="Times New Roman"/>
          <w:sz w:val="20"/>
          <w:szCs w:val="20"/>
        </w:rPr>
        <w:t>T</w:t>
      </w:r>
      <w:r>
        <w:rPr>
          <w:rFonts w:hint="default" w:ascii="Times New Roman" w:hAnsi="Times New Roman" w:eastAsia="PMingLiU" w:cs="Times New Roman"/>
          <w:sz w:val="20"/>
          <w:szCs w:val="20"/>
          <w:vertAlign w:val="subscript"/>
        </w:rPr>
        <w:t xml:space="preserve">LTM-processing </w:t>
      </w:r>
      <w:r>
        <w:rPr>
          <w:rFonts w:hint="default" w:ascii="Times New Roman" w:hAnsi="Times New Roman" w:eastAsia="PMingLiU" w:cs="Times New Roman"/>
          <w:sz w:val="20"/>
          <w:szCs w:val="20"/>
        </w:rPr>
        <w:t>is the time for UE processing, consisting of applying the target cell parameters and L1/L2 change.</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bCs/>
          <w:sz w:val="20"/>
          <w:szCs w:val="20"/>
        </w:rPr>
        <w:t>T</w:t>
      </w:r>
      <w:r>
        <w:rPr>
          <w:rFonts w:hint="default" w:ascii="Times New Roman" w:hAnsi="Times New Roman" w:eastAsia="宋体" w:cs="Times New Roman"/>
          <w:bCs/>
          <w:sz w:val="20"/>
          <w:szCs w:val="20"/>
          <w:vertAlign w:val="subscript"/>
        </w:rPr>
        <w:t>first-RS</w:t>
      </w:r>
      <w:r>
        <w:rPr>
          <w:rFonts w:hint="default" w:ascii="Times New Roman" w:hAnsi="Times New Roman" w:eastAsia="宋体" w:cs="Times New Roman"/>
          <w:bCs/>
          <w:sz w:val="20"/>
          <w:szCs w:val="20"/>
        </w:rPr>
        <w:t xml:space="preserve"> is</w:t>
      </w:r>
      <w:r>
        <w:rPr>
          <w:rFonts w:hint="default" w:ascii="Times New Roman" w:hAnsi="Times New Roman" w:eastAsia="宋体" w:cs="Times New Roman"/>
          <w:sz w:val="20"/>
          <w:szCs w:val="20"/>
        </w:rPr>
        <w:t xml:space="preserve"> the time for fine time tracking and acquiring full timing information of the target cell.</w:t>
      </w:r>
      <w:r>
        <w:rPr>
          <w:rFonts w:hint="default" w:ascii="Times New Roman" w:hAnsi="Times New Roman" w:eastAsia="宋体" w:cs="Times New Roman"/>
          <w:sz w:val="20"/>
          <w:szCs w:val="20"/>
          <w:lang w:val="en-US" w:eastAsia="zh-CN"/>
        </w:rPr>
        <w:t xml:space="preserve"> T</w:t>
      </w:r>
      <w:r>
        <w:rPr>
          <w:rFonts w:hint="default" w:ascii="Times New Roman" w:hAnsi="Times New Roman" w:eastAsia="宋体" w:cs="Times New Roman"/>
          <w:sz w:val="20"/>
          <w:szCs w:val="20"/>
          <w:vertAlign w:val="subscript"/>
          <w:lang w:val="en-US" w:eastAsia="zh-CN"/>
        </w:rPr>
        <w:t>RS-proc</w:t>
      </w:r>
      <w:r>
        <w:rPr>
          <w:rFonts w:hint="default" w:ascii="Times New Roman" w:hAnsi="Times New Roman" w:eastAsia="宋体" w:cs="Times New Roman"/>
          <w:sz w:val="20"/>
          <w:szCs w:val="20"/>
          <w:lang w:val="en-US" w:eastAsia="zh-CN"/>
        </w:rPr>
        <w:t xml:space="preserve"> is the time for SSB processing.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 xml:space="preserve">LTM-IU </w:t>
      </w:r>
      <w:r>
        <w:rPr>
          <w:rFonts w:hint="default" w:ascii="Times New Roman" w:hAnsi="Times New Roman" w:eastAsia="宋体" w:cs="Times New Roman"/>
          <w:sz w:val="20"/>
          <w:szCs w:val="20"/>
        </w:rPr>
        <w:t>is the interruption uncertainty during LTM cell switch</w:t>
      </w:r>
      <w:r>
        <w:rPr>
          <w:rFonts w:hint="eastAsia" w:ascii="Times New Roman" w:hAnsi="Times New Roman" w:eastAsia="宋体" w:cs="Times New Roman"/>
          <w:sz w:val="20"/>
          <w:szCs w:val="20"/>
          <w:lang w:val="en-US" w:eastAsia="zh-CN"/>
        </w:rPr>
        <w:t xml:space="preserve"> which is related with whether RACH-based LTM cell switch or RACH-less LTM cell switch is in use</w:t>
      </w:r>
      <w:r>
        <w:rPr>
          <w:rFonts w:hint="default" w:ascii="Times New Roman" w:hAnsi="Times New Roman" w:eastAsia="宋体" w:cs="Times New Roman"/>
          <w:sz w:val="20"/>
          <w:szCs w:val="20"/>
        </w:rPr>
        <w:t>.</w:t>
      </w:r>
      <w:r>
        <w:rPr>
          <w:rFonts w:hint="eastAsia" w:ascii="Times New Roman" w:hAnsi="Times New Roman" w:eastAsia="宋体" w:cs="Times New Roman"/>
          <w:sz w:val="20"/>
          <w:szCs w:val="20"/>
          <w:lang w:val="en-US" w:eastAsia="zh-CN"/>
        </w:rPr>
        <w:t xml:space="preserve"> </w:t>
      </w:r>
    </w:p>
    <w:p w14:paraId="4E7AFBCF">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The motivation to introduce subsequent LTM is to </w:t>
      </w:r>
      <w:r>
        <w:rPr>
          <w:rFonts w:hint="default" w:ascii="Times New Roman" w:hAnsi="Times New Roman" w:cs="Times New Roman"/>
          <w:bCs/>
          <w:sz w:val="20"/>
          <w:szCs w:val="20"/>
        </w:rPr>
        <w:t>avoid RRC configuration between cell switches</w:t>
      </w:r>
      <w:r>
        <w:rPr>
          <w:rFonts w:hint="eastAsia" w:ascii="Times New Roman" w:hAnsi="Times New Roman" w:cs="Times New Roman"/>
          <w:bCs/>
          <w:sz w:val="20"/>
          <w:szCs w:val="20"/>
          <w:lang w:val="en-US" w:eastAsia="zh-CN"/>
        </w:rPr>
        <w:t>. According to above analysis, i</w:t>
      </w:r>
      <w:r>
        <w:rPr>
          <w:rFonts w:hint="eastAsia" w:ascii="Times New Roman" w:hAnsi="Times New Roman" w:eastAsia="宋体" w:cs="Times New Roman"/>
          <w:sz w:val="20"/>
          <w:szCs w:val="20"/>
          <w:lang w:val="en-US" w:eastAsia="zh-CN"/>
        </w:rPr>
        <w:t xml:space="preserve">t can be seen that only the component of </w:t>
      </w:r>
      <w:r>
        <w:rPr>
          <w:rFonts w:hint="default" w:ascii="Times New Roman" w:hAnsi="Times New Roman" w:eastAsia="宋体" w:cs="Times New Roman"/>
          <w:sz w:val="20"/>
          <w:szCs w:val="20"/>
        </w:rPr>
        <w:t>T</w:t>
      </w:r>
      <w:r>
        <w:rPr>
          <w:rFonts w:hint="default" w:ascii="Times New Roman" w:hAnsi="Times New Roman" w:eastAsia="宋体" w:cs="Times New Roman"/>
          <w:sz w:val="20"/>
          <w:szCs w:val="20"/>
          <w:vertAlign w:val="subscript"/>
        </w:rPr>
        <w:t>LTM-RRC-processing</w:t>
      </w:r>
      <w:r>
        <w:rPr>
          <w:rFonts w:hint="default" w:ascii="Times New Roman" w:hAnsi="Times New Roman" w:eastAsia="宋体" w:cs="Times New Roman"/>
          <w:sz w:val="20"/>
          <w:szCs w:val="20"/>
        </w:rPr>
        <w:t xml:space="preserve"> is</w:t>
      </w:r>
      <w:r>
        <w:rPr>
          <w:rFonts w:hint="eastAsia" w:ascii="Times New Roman" w:hAnsi="Times New Roman" w:eastAsia="宋体" w:cs="Times New Roman"/>
          <w:sz w:val="20"/>
          <w:szCs w:val="20"/>
          <w:lang w:val="en-US" w:eastAsia="zh-CN"/>
        </w:rPr>
        <w:t xml:space="preserve"> related with RRC, which is the </w:t>
      </w:r>
      <w:r>
        <w:rPr>
          <w:rFonts w:hint="default" w:ascii="Times New Roman" w:hAnsi="Times New Roman" w:eastAsia="宋体" w:cs="Times New Roman"/>
          <w:sz w:val="20"/>
          <w:szCs w:val="20"/>
        </w:rPr>
        <w:t>the time for ASN.1 decoding and validity/compliance check for the RRC configuration</w:t>
      </w:r>
      <w:r>
        <w:rPr>
          <w:rFonts w:hint="eastAsia" w:ascii="Times New Roman" w:hAnsi="Times New Roman" w:eastAsia="宋体" w:cs="Times New Roman"/>
          <w:sz w:val="20"/>
          <w:szCs w:val="20"/>
          <w:lang w:val="en-US" w:eastAsia="zh-CN"/>
        </w:rPr>
        <w:t>. And T</w:t>
      </w:r>
      <w:r>
        <w:rPr>
          <w:rFonts w:hint="eastAsia" w:ascii="Times New Roman" w:hAnsi="Times New Roman" w:eastAsia="宋体" w:cs="Times New Roman"/>
          <w:sz w:val="20"/>
          <w:szCs w:val="20"/>
          <w:vertAlign w:val="subscript"/>
          <w:lang w:val="en-US" w:eastAsia="zh-CN"/>
        </w:rPr>
        <w:t>LTM-RRC-processing</w:t>
      </w:r>
      <w:r>
        <w:rPr>
          <w:rFonts w:hint="eastAsia" w:ascii="Times New Roman" w:hAnsi="Times New Roman" w:eastAsia="宋体" w:cs="Times New Roman"/>
          <w:sz w:val="20"/>
          <w:szCs w:val="20"/>
          <w:lang w:val="en-US" w:eastAsia="zh-CN"/>
        </w:rPr>
        <w:t xml:space="preserve"> = 0 if the UE supports [earlyDecodingAndValidityCheck] capability, and some conditions are met. Otherwise,  T</w:t>
      </w:r>
      <w:r>
        <w:rPr>
          <w:rFonts w:hint="eastAsia" w:ascii="Times New Roman" w:hAnsi="Times New Roman" w:eastAsia="宋体" w:cs="Times New Roman"/>
          <w:sz w:val="20"/>
          <w:szCs w:val="20"/>
          <w:vertAlign w:val="subscript"/>
          <w:lang w:val="en-US" w:eastAsia="zh-CN"/>
        </w:rPr>
        <w:t xml:space="preserve">LTM-RRC-processing </w:t>
      </w:r>
      <w:r>
        <w:rPr>
          <w:rFonts w:hint="eastAsia" w:ascii="Times New Roman" w:hAnsi="Times New Roman" w:eastAsia="宋体" w:cs="Times New Roman"/>
          <w:sz w:val="20"/>
          <w:szCs w:val="20"/>
          <w:lang w:val="en-US" w:eastAsia="zh-CN"/>
        </w:rPr>
        <w:t xml:space="preserve">=10ms. </w:t>
      </w:r>
    </w:p>
    <w:p w14:paraId="1A85C387">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According to TS38.300, subsequent LTM is done by repeating the early synchronization, LTM cell switch execution, and LTM cell switch completion steps without releasing other LTM candidate configurations after each LTM cell switch completion. Rel-19 LTM target for inter-CU case. The difference between Rel-18 subsequent LTM and Rel-19 subsequent LTM is that the candidate LTM cells no need to be limited to intra-CU, which has no impact on the UE b</w:t>
      </w:r>
      <w:r>
        <w:rPr>
          <w:rFonts w:hint="eastAsia" w:ascii="Times New Roman" w:hAnsi="Times New Roman" w:cs="Times New Roman"/>
          <w:sz w:val="20"/>
          <w:szCs w:val="20"/>
          <w:lang w:val="en-US" w:eastAsia="zh-CN"/>
        </w:rPr>
        <w:t>e</w:t>
      </w:r>
      <w:r>
        <w:rPr>
          <w:rFonts w:hint="eastAsia" w:ascii="Times New Roman" w:hAnsi="Times New Roman" w:eastAsia="宋体" w:cs="Times New Roman"/>
          <w:sz w:val="20"/>
          <w:szCs w:val="20"/>
          <w:lang w:val="en-US" w:eastAsia="zh-CN"/>
        </w:rPr>
        <w:t>haviour. The Rel-18 cell switch delay requirements can be reused.</w:t>
      </w:r>
    </w:p>
    <w:p w14:paraId="249959F3">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it is proposed that the Rel-18 cell switch delay requirements can be reused for Rel-19 </w:t>
      </w:r>
      <w:r>
        <w:rPr>
          <w:rFonts w:hint="eastAsia" w:ascii="Times New Roman" w:hAnsi="Times New Roman" w:cs="Times New Roman"/>
          <w:b/>
          <w:bCs/>
          <w:i/>
          <w:iCs/>
          <w:sz w:val="20"/>
          <w:szCs w:val="20"/>
          <w:lang w:val="en-US" w:eastAsia="zh-CN"/>
        </w:rPr>
        <w:t xml:space="preserve">inter-CU </w:t>
      </w:r>
      <w:r>
        <w:rPr>
          <w:rFonts w:hint="eastAsia" w:ascii="Times New Roman" w:hAnsi="Times New Roman" w:eastAsia="宋体" w:cs="Times New Roman"/>
          <w:b/>
          <w:bCs/>
          <w:i/>
          <w:iCs/>
          <w:sz w:val="20"/>
          <w:szCs w:val="20"/>
          <w:lang w:val="en-US" w:eastAsia="zh-CN"/>
        </w:rPr>
        <w:t>subsequent LTM.</w:t>
      </w:r>
    </w:p>
    <w:bookmarkEnd w:id="6"/>
    <w:bookmarkEnd w:id="7"/>
    <w:p w14:paraId="2C2E0DC7">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663B597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inter-CU subsequent LTM. The proposals are:</w:t>
      </w:r>
    </w:p>
    <w:p w14:paraId="6F903A81">
      <w:pPr>
        <w:keepNext w:val="0"/>
        <w:keepLines w:val="0"/>
        <w:pageBreakBefore w:val="0"/>
        <w:widowControl w:val="0"/>
        <w:kinsoku/>
        <w:wordWrap/>
        <w:overflowPunct/>
        <w:topLinePunct w:val="0"/>
        <w:autoSpaceDE/>
        <w:autoSpaceDN/>
        <w:bidi w:val="0"/>
        <w:adjustRightInd/>
        <w:snapToGrid/>
        <w:spacing w:after="180"/>
        <w:ind w:left="0"/>
        <w:textAlignment w:val="auto"/>
        <w:rPr>
          <w:rFonts w:hint="eastAsia" w:ascii="Times New Roman" w:hAnsi="Times New Roman"/>
          <w:sz w:val="20"/>
          <w:szCs w:val="20"/>
          <w:highlight w:val="none"/>
        </w:rPr>
      </w:pPr>
      <w:r>
        <w:rPr>
          <w:rFonts w:hint="eastAsia" w:ascii="Times New Roman" w:hAnsi="Times New Roman" w:eastAsia="宋体" w:cs="Times New Roman"/>
          <w:b/>
          <w:bCs/>
          <w:i/>
          <w:iCs/>
          <w:sz w:val="20"/>
          <w:szCs w:val="20"/>
          <w:lang w:val="en-US" w:eastAsia="zh-CN"/>
        </w:rPr>
        <w:t xml:space="preserve">Proposal 1: it is proposed that the Rel-18 cell switch delay requirements can be reused for Rel-19 </w:t>
      </w:r>
      <w:r>
        <w:rPr>
          <w:rFonts w:hint="eastAsia" w:ascii="Times New Roman" w:hAnsi="Times New Roman" w:cs="Times New Roman"/>
          <w:b/>
          <w:bCs/>
          <w:i/>
          <w:iCs/>
          <w:sz w:val="20"/>
          <w:szCs w:val="20"/>
          <w:lang w:val="en-US" w:eastAsia="zh-CN"/>
        </w:rPr>
        <w:t xml:space="preserve">inter-CU </w:t>
      </w:r>
      <w:r>
        <w:rPr>
          <w:rFonts w:hint="eastAsia" w:ascii="Times New Roman" w:hAnsi="Times New Roman" w:eastAsia="宋体" w:cs="Times New Roman"/>
          <w:b/>
          <w:bCs/>
          <w:i/>
          <w:iCs/>
          <w:sz w:val="20"/>
          <w:szCs w:val="20"/>
          <w:lang w:val="en-US" w:eastAsia="zh-CN"/>
        </w:rPr>
        <w:t>subsequent LTM.</w:t>
      </w:r>
    </w:p>
    <w:p w14:paraId="4B771F0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67DAB8D">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34036</w:t>
      </w:r>
      <w:r>
        <w:rPr>
          <w:rFonts w:ascii="Times" w:hAnsi="Times" w:eastAsia="宋体"/>
          <w:b w:val="0"/>
          <w:sz w:val="20"/>
          <w:lang w:eastAsia="zh-CN"/>
        </w:rPr>
        <w:t xml:space="preserve">, </w:t>
      </w:r>
      <w:r>
        <w:rPr>
          <w:rFonts w:hint="eastAsia" w:ascii="Times" w:hAnsi="Times" w:eastAsia="宋体"/>
          <w:b w:val="0"/>
          <w:sz w:val="20"/>
          <w:lang w:eastAsia="zh-CN"/>
        </w:rPr>
        <w:t>New WID: NR mobility enhancements Phase 4</w:t>
      </w:r>
    </w:p>
    <w:p w14:paraId="2107B172">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w:t>
      </w:r>
      <w:r>
        <w:rPr>
          <w:rFonts w:hint="eastAsia" w:ascii="Times" w:hAnsi="Times" w:eastAsia="宋体"/>
          <w:b w:val="0"/>
          <w:sz w:val="20"/>
          <w:lang w:val="en-US" w:eastAsia="zh-CN"/>
        </w:rPr>
        <w:t>P</w:t>
      </w:r>
      <w:r>
        <w:rPr>
          <w:rFonts w:hint="eastAsia" w:ascii="Times" w:hAnsi="Times" w:eastAsia="宋体"/>
          <w:b w:val="0"/>
          <w:sz w:val="20"/>
          <w:lang w:eastAsia="zh-CN"/>
        </w:rPr>
        <w:t>-24</w:t>
      </w:r>
      <w:r>
        <w:rPr>
          <w:rFonts w:hint="eastAsia" w:ascii="Times" w:hAnsi="Times" w:eastAsia="宋体"/>
          <w:b w:val="0"/>
          <w:sz w:val="20"/>
          <w:lang w:val="en-US" w:eastAsia="zh-CN"/>
        </w:rPr>
        <w:t xml:space="preserve">2356, </w:t>
      </w:r>
      <w:r>
        <w:rPr>
          <w:rFonts w:hint="eastAsia" w:ascii="Times" w:hAnsi="Times" w:eastAsia="宋体"/>
          <w:b w:val="0"/>
          <w:sz w:val="20"/>
          <w:lang w:eastAsia="zh-CN"/>
        </w:rPr>
        <w:t xml:space="preserve">Revised Work Item: NR mobility enhancements Phase 4 </w:t>
      </w:r>
    </w:p>
    <w:p w14:paraId="31313FE4">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R4-2416862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RRM requirements for NR_Mob_Ph4_Part1</w:t>
      </w:r>
      <w:r>
        <w:rPr>
          <w:rFonts w:hint="eastAsia" w:ascii="Times" w:hAnsi="Times" w:eastAsia="宋体"/>
          <w:b w:val="0"/>
          <w:sz w:val="20"/>
          <w:lang w:val="en-US" w:eastAsia="zh-CN"/>
        </w:rPr>
        <w:t>, Apple</w:t>
      </w:r>
    </w:p>
    <w:p w14:paraId="793BE132">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 xml:space="preserve">R4-2414060, </w:t>
      </w:r>
      <w:r>
        <w:rPr>
          <w:rFonts w:hint="eastAsia" w:ascii="Times" w:hAnsi="Times" w:eastAsia="宋体"/>
          <w:b w:val="0"/>
          <w:sz w:val="20"/>
          <w:lang w:eastAsia="zh-CN"/>
        </w:rPr>
        <w:t>WF on R1</w:t>
      </w:r>
      <w:r>
        <w:rPr>
          <w:rFonts w:hint="eastAsia" w:ascii="Times" w:hAnsi="Times" w:eastAsia="宋体"/>
          <w:b w:val="0"/>
          <w:sz w:val="20"/>
          <w:lang w:val="en-US" w:eastAsia="zh-CN"/>
        </w:rPr>
        <w:t>9</w:t>
      </w:r>
      <w:r>
        <w:rPr>
          <w:rFonts w:hint="eastAsia" w:ascii="Times" w:hAnsi="Times" w:eastAsia="宋体"/>
          <w:b w:val="0"/>
          <w:sz w:val="20"/>
          <w:lang w:eastAsia="zh-CN"/>
        </w:rPr>
        <w:t xml:space="preserve"> Further NR mobility enhancement</w:t>
      </w:r>
      <w:r>
        <w:rPr>
          <w:rFonts w:hint="eastAsia" w:ascii="Times" w:hAnsi="Times" w:eastAsia="宋体"/>
          <w:b w:val="0"/>
          <w:sz w:val="20"/>
          <w:lang w:val="en-US" w:eastAsia="zh-CN"/>
        </w:rPr>
        <w:t>, Apple</w:t>
      </w:r>
    </w:p>
    <w:p w14:paraId="27AFCBA2">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RP-233970</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on Further NR Mobility Enhancements</w:t>
      </w:r>
    </w:p>
    <w:p w14:paraId="02535A61">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3998A9D1">
      <w:pPr>
        <w:pStyle w:val="17"/>
        <w:keepNext w:val="0"/>
        <w:keepLines w:val="0"/>
        <w:pageBreakBefore w:val="0"/>
        <w:framePr w:wrap="auto" w:vAnchor="margin" w:hAnchor="text" w:yAlign="inline"/>
        <w:widowControl w:val="0"/>
        <w:numPr>
          <w:ilvl w:val="0"/>
          <w:numId w:val="5"/>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RP-242356, Revised Work Item: NR mobility enhancements Phase 4</w:t>
      </w:r>
    </w:p>
    <w:p w14:paraId="35324FF1">
      <w:pPr>
        <w:pStyle w:val="17"/>
        <w:framePr w:wrap="auto" w:vAnchor="margin" w:hAnchor="text" w:yAlign="inline"/>
        <w:ind w:right="400"/>
        <w:jc w:val="both"/>
        <w:rPr>
          <w:rFonts w:hint="eastAsia" w:ascii="Times" w:hAnsi="Times" w:eastAsia="宋体"/>
          <w:b w:val="0"/>
          <w:sz w:val="20"/>
          <w:lang w:val="en-US" w:eastAsia="zh-CN"/>
        </w:rPr>
      </w:pPr>
    </w:p>
    <w:p w14:paraId="072C61AD"/>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roman"/>
    <w:pitch w:val="default"/>
    <w:sig w:usb0="00000000" w:usb1="00000000" w:usb2="00000016"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BE2002"/>
    <w:rsid w:val="4ACD5D3A"/>
    <w:rsid w:val="4DB92926"/>
    <w:rsid w:val="5A6C76F1"/>
    <w:rsid w:val="6923170D"/>
    <w:rsid w:val="73C978BC"/>
    <w:rsid w:val="77D561CD"/>
    <w:rsid w:val="7C401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widowControl/>
      <w:numPr>
        <w:ilvl w:val="0"/>
        <w:numId w:val="0"/>
      </w:numPr>
      <w:tabs>
        <w:tab w:val="left" w:pos="576"/>
        <w:tab w:val="clear" w:pos="432"/>
      </w:tabs>
      <w:spacing w:before="180" w:after="180" w:line="240" w:lineRule="auto"/>
      <w:ind w:left="576" w:hanging="576"/>
      <w:jc w:val="left"/>
      <w:outlineLvl w:val="1"/>
    </w:pPr>
    <w:rPr>
      <w:rFonts w:ascii="Arial" w:hAnsi="Arial" w:eastAsia="MS Mincho"/>
      <w:b w:val="0"/>
      <w:bCs w:val="0"/>
      <w:kern w:val="0"/>
      <w:sz w:val="32"/>
      <w:szCs w:val="20"/>
      <w:lang w:val="en-GB" w:eastAsia="en-US"/>
    </w:rPr>
  </w:style>
  <w:style w:type="paragraph" w:styleId="4">
    <w:name w:val="heading 3"/>
    <w:basedOn w:val="3"/>
    <w:next w:val="1"/>
    <w:qFormat/>
    <w:uiPriority w:val="0"/>
    <w:pPr>
      <w:tabs>
        <w:tab w:val="left" w:pos="720"/>
        <w:tab w:val="clear" w:pos="576"/>
      </w:tabs>
      <w:spacing w:before="120"/>
      <w:ind w:left="720" w:hanging="720"/>
      <w:outlineLvl w:val="2"/>
    </w:pPr>
    <w:rPr>
      <w:sz w:val="28"/>
    </w:rPr>
  </w:style>
  <w:style w:type="paragraph" w:styleId="5">
    <w:name w:val="heading 4"/>
    <w:basedOn w:val="4"/>
    <w:next w:val="1"/>
    <w:qFormat/>
    <w:uiPriority w:val="0"/>
    <w:pPr>
      <w:tabs>
        <w:tab w:val="left" w:pos="864"/>
        <w:tab w:val="clear" w:pos="720"/>
      </w:tabs>
      <w:ind w:left="864" w:hanging="864"/>
      <w:outlineLvl w:val="3"/>
    </w:pPr>
    <w:rPr>
      <w:sz w:val="20"/>
    </w:rPr>
  </w:style>
  <w:style w:type="paragraph" w:styleId="6">
    <w:name w:val="heading 5"/>
    <w:basedOn w:val="5"/>
    <w:next w:val="1"/>
    <w:qFormat/>
    <w:uiPriority w:val="0"/>
    <w:pPr>
      <w:tabs>
        <w:tab w:val="left" w:pos="1152"/>
        <w:tab w:val="clear" w:pos="864"/>
      </w:tabs>
      <w:ind w:left="1152" w:hanging="1152"/>
      <w:outlineLvl w:val="4"/>
    </w:pPr>
    <w:rPr>
      <w:sz w:val="2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8">
    <w:name w:val="List"/>
    <w:basedOn w:val="1"/>
    <w:unhideWhenUsed/>
    <w:qFormat/>
    <w:uiPriority w:val="99"/>
    <w:pPr>
      <w:ind w:left="200" w:hanging="200" w:hangingChars="200"/>
      <w:contextualSpacing/>
    </w:p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NO"/>
    <w:basedOn w:val="1"/>
    <w:qFormat/>
    <w:uiPriority w:val="0"/>
    <w:pPr>
      <w:keepLines/>
      <w:ind w:left="1135" w:hanging="851"/>
    </w:p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B1"/>
    <w:basedOn w:val="8"/>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TH"/>
    <w:basedOn w:val="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16">
    <w:name w:val="TF"/>
    <w:basedOn w:val="15"/>
    <w:qFormat/>
    <w:uiPriority w:val="0"/>
    <w:pPr>
      <w:keepNext w:val="0"/>
      <w:spacing w:before="0" w:after="240"/>
    </w:p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2024-11-03T00:48:00Z</dcterms:created>
  <dc:creator>cmcc</dc:creator>
  <cp:lastModifiedBy>Jingjing Chen_CMCC</cp:lastModifiedBy>
  <dcterms:modified xsi:type="dcterms:W3CDTF">2024-11-08T08:17:20Z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13EA236B3BF348BFA305056C5C1ABE48</vt:lpwstr>
  </property>
</Properties>
</file>